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9C1" w:rsidRPr="008409C1" w:rsidRDefault="00BD2B55" w:rsidP="008409C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Лекция № 1.3 </w:t>
      </w:r>
      <w:bookmarkStart w:id="0" w:name="_GoBack"/>
      <w:r w:rsidR="008409C1" w:rsidRPr="008409C1">
        <w:rPr>
          <w:rFonts w:ascii="Times New Roman" w:hAnsi="Times New Roman" w:cs="Times New Roman"/>
          <w:b/>
          <w:bCs/>
          <w:sz w:val="32"/>
          <w:szCs w:val="32"/>
        </w:rPr>
        <w:t xml:space="preserve">Выбор целевых сегментов и средств коммуникации. Часть </w:t>
      </w:r>
      <w:r w:rsidR="006117DE">
        <w:rPr>
          <w:rFonts w:ascii="Times New Roman" w:hAnsi="Times New Roman" w:cs="Times New Roman"/>
          <w:b/>
          <w:bCs/>
          <w:sz w:val="32"/>
          <w:szCs w:val="32"/>
        </w:rPr>
        <w:t>1</w:t>
      </w:r>
      <w:bookmarkEnd w:id="0"/>
    </w:p>
    <w:p w:rsidR="00BD2B55" w:rsidRDefault="00BD2B55" w:rsidP="00BD2B5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BD2B5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D1013F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D2B55">
        <w:rPr>
          <w:rFonts w:ascii="Times New Roman" w:hAnsi="Times New Roman" w:cs="Times New Roman"/>
          <w:sz w:val="32"/>
          <w:szCs w:val="32"/>
        </w:rPr>
        <w:t xml:space="preserve">Тема нашей лекции «Выбор целевых сегментов и средств коммуникации». Рассмотрим концепцию сегментирования,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таргетирования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>, позиционирования — СТП, которая лежит в основе эффективного маркетинга. Сегментация или сегментирование — это разбиение рынка на однородные группы потребителей, характеризующиеся общими потребностями, характеристиками, поведением, которым в связи с этим необходим определенный тип товара и особое мероприятие маркетинг-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микс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в области продвижения, ценообразования, распространения. </w:t>
      </w:r>
    </w:p>
    <w:p w:rsidR="00D1013F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D2B55">
        <w:rPr>
          <w:rFonts w:ascii="Times New Roman" w:hAnsi="Times New Roman" w:cs="Times New Roman"/>
          <w:sz w:val="32"/>
          <w:szCs w:val="32"/>
        </w:rPr>
        <w:t xml:space="preserve">На рынках B2C выделяют следующие критерии или принципы сегментации: географические, демографические,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психографические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 поведенческие. Географические и демографические характеристики являются простыми и хорошо измеряемыми. Наиболее сложные — это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психографические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характеристики по следующим причинам. Многообразие моделей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психографики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, субъективность этих моделей, трудность измерения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психографических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характеристик. </w:t>
      </w:r>
    </w:p>
    <w:p w:rsidR="00D1013F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D2B55">
        <w:rPr>
          <w:rFonts w:ascii="Times New Roman" w:hAnsi="Times New Roman" w:cs="Times New Roman"/>
          <w:sz w:val="32"/>
          <w:szCs w:val="32"/>
        </w:rPr>
        <w:t xml:space="preserve">В нашем курсе мы предлагаем вам ознакомиться более подробно с моделью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психотипов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Евгения Громова и Марины Герасимовой из компании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WorkLine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. На B2B рынках свои критерии сегментации, относящиеся как к характеристикам организации, так и к характеристикам лиц, принимающих решения о закупках — ЛПР. К «демографическим» характеристикам организации относят отрасли промышленности, размер организации, территориальное размещение. Для сегментации на B2B рынках также применяются операционные переменные, методы совершения закупок в организации, ситуационные факторы. К личностным характеристикам ЛПР относятся демографические характеристики ЛПР, их мотивация при совершении закупок, отношение к риску, опыт работы. </w:t>
      </w:r>
    </w:p>
    <w:p w:rsidR="00D1013F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D2B55">
        <w:rPr>
          <w:rFonts w:ascii="Times New Roman" w:hAnsi="Times New Roman" w:cs="Times New Roman"/>
          <w:sz w:val="32"/>
          <w:szCs w:val="32"/>
        </w:rPr>
        <w:t xml:space="preserve">Методов сегментации очень много. Мы подробно рассмотрим с вами применение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индекса для сегментации на B2C рынках. Применяют два способа расчета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индекса: через потребление и через структуру. Математически эти две формулы одинаковы.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 выражается в процентах при расчете через потребление, показывает отношение доли потребителей в социально-демографической группе к доле потребителей во всём населении. Если он больше 100%, или больше 115%, то говорят, что социально-демографическая группа более склонна к потреблению продукта, чем население в среднем. Если он меньше 100% или лучше, как говорится, меньше 85%, то группа менее склонна к потреблению продукта. Например, население региона (НР) составляет один миллион человек. Социально-демографическая группа — лица в возрасте 16–19 лет </w:t>
      </w:r>
      <w:r w:rsidRPr="00BD2B55">
        <w:rPr>
          <w:rFonts w:ascii="Times New Roman" w:hAnsi="Times New Roman" w:cs="Times New Roman"/>
          <w:sz w:val="32"/>
          <w:szCs w:val="32"/>
        </w:rPr>
        <w:lastRenderedPageBreak/>
        <w:t xml:space="preserve">(Г) — в населении региона составляет 200 000 человек. Потребителей продукта «Соленые орешки в упаковке» в населении региона (П — потребители) насчитывается 100 000 человек. Потребителей продукта «Соленые орешки в упаковке» в социально-демографической группе (ПГ) насчитывается 40 000 человек.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 составит 200%. Он показывает, что доля потребителей «Соленых орешков в упаковке» среди лиц в возрасте 16–19 лет в два раза больше, чем в населении в среднем, что характеризует большую склонность данной социально-демографической группы к потреблению продукта. </w:t>
      </w:r>
    </w:p>
    <w:p w:rsidR="00D1013F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 через структуры показывает отношение социально-демографической структуры потребителей к структуре населения. Например, доля потребителей-женщин среди всех потребителей продукта x составляет 20%, а доля женщин в населении 56%.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 составит 36%, что говорит о низкой склонности женщин к потреблению этого продукта по сравнению с населением в среднем. Следует отметить, </w:t>
      </w:r>
      <w:proofErr w:type="gramStart"/>
      <w:r w:rsidRPr="00BD2B55">
        <w:rPr>
          <w:rFonts w:ascii="Times New Roman" w:hAnsi="Times New Roman" w:cs="Times New Roman"/>
          <w:sz w:val="32"/>
          <w:szCs w:val="32"/>
        </w:rPr>
        <w:t>что</w:t>
      </w:r>
      <w:proofErr w:type="gramEnd"/>
      <w:r w:rsidRPr="00BD2B55">
        <w:rPr>
          <w:rFonts w:ascii="Times New Roman" w:hAnsi="Times New Roman" w:cs="Times New Roman"/>
          <w:sz w:val="32"/>
          <w:szCs w:val="32"/>
        </w:rPr>
        <w:t xml:space="preserve"> если вы считаете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индексы по мужчинам и женщинам, их сумма не обязательно должна быть всегда равна 200%, хотя такая ситуация может быть. В каком случае, догадайтесь сами. Социальные сети дают нам возможности сегментации людей по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геолокации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, различным социально-демографическим характеристикам, образованию, выполняемой работе и интересам. </w:t>
      </w:r>
    </w:p>
    <w:p w:rsidR="00D1013F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D2B55">
        <w:rPr>
          <w:rFonts w:ascii="Times New Roman" w:hAnsi="Times New Roman" w:cs="Times New Roman"/>
          <w:sz w:val="32"/>
          <w:szCs w:val="32"/>
        </w:rPr>
        <w:t xml:space="preserve">Рассмотрим задачу сегментации потребителей услуг негосударственных пенсионных фондов НПФ на основе интересов, которые решали мои бывшие студенты, а сейчас высококвалифицированные интернет-маркетологи Александр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Бахарев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 Александр Климов, которые читают лекции в «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Политехе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» по рекламе в социальных сетях и по контекстной рекламе. Для расчета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индекса продуктом являлись услуги Ханты-Мансийского НПФ, а все участники группы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Вконтакте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«Ханты-Мансийский НПФ» были потребителями продукта. Каждая категория интересов является социально-демографической характеристикой, которая есть у потребителей — участников группы «Ханты-Мансийский НПФ». Категории интересов представлены среди всех аккаунтов сети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Вконтакте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. У нас все аккаунты сети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Вконтакте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представляют собой население или базу для сравнения. По данным на 2005-й год в группе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Вконтакте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«Ханты-мансийский НПФ» состояла 1 308 человек — это потребители. Среди них имели категорию интересов «Финансы» 640 человек — это потребители из группы (ПГ). Всего аккаунтов в социальной сети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Вконтакте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тогда было 103 147 000 — это у нас население. Среди них категорию интересов «Финансы» имело 9 088 000 человек. Это размер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соцдем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группы в населении, то есть имеющих категорию интересов «Финансы». Доля социально-демографической группы категории интересов «Финансы» среди потребителей — участников группы «Ханты-мансийский </w:t>
      </w:r>
      <w:r w:rsidRPr="00BD2B55">
        <w:rPr>
          <w:rFonts w:ascii="Times New Roman" w:hAnsi="Times New Roman" w:cs="Times New Roman"/>
          <w:sz w:val="32"/>
          <w:szCs w:val="32"/>
        </w:rPr>
        <w:lastRenderedPageBreak/>
        <w:t xml:space="preserve">НПФ» составила у нас 48,9%. Доля социально-демографической группы «Финансы», имеющих категорию интересов «Финансы» среди населения всех зарегистрированных в сети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Вконтакте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составила 8,8%.</w:t>
      </w:r>
    </w:p>
    <w:p w:rsidR="00D1013F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D2B55">
        <w:rPr>
          <w:rFonts w:ascii="Times New Roman" w:hAnsi="Times New Roman" w:cs="Times New Roman"/>
          <w:sz w:val="32"/>
          <w:szCs w:val="32"/>
        </w:rPr>
        <w:t xml:space="preserve"> Таким образом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 по категории интересов «Финансы» составил 556%. Проведя расчеты, мы обнаруживаем, что наибольшее значение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аффинити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индекса имеют категории интересов: финансы, обустройство, ремонт и путешествия. Именно на лиц, имеющих эти интересы, и надо нацеливать или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таргетировать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рекламу в социальной сети. Таким образом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таргетирование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— это выбор целевых сегментов потребителей, для которых мы подготовили специальное продуктовое предложение, подготовим рекламу, методы дистрибуции и ценовые предложения, то есть проведем позиционирование.</w:t>
      </w:r>
    </w:p>
    <w:p w:rsidR="00BD2B55" w:rsidRDefault="00BD2B55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D2B55">
        <w:rPr>
          <w:rFonts w:ascii="Times New Roman" w:hAnsi="Times New Roman" w:cs="Times New Roman"/>
          <w:sz w:val="32"/>
          <w:szCs w:val="32"/>
        </w:rPr>
        <w:t xml:space="preserve"> В цифровом маркетинге сейчас активно используют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Look-Alike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таргетинг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, когда в качестве сегмента выбирают людей, которые похожи на существующих или специально отобранных клиентов организации по многим характеристикам, которые можно отслеживать с помощью Интернет-инструментов и таким образом найти таких людей в социальных сетях или среди аккаунтов системы электронной почты, в том числе, используя и цифровой след или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кибер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-тени в Интернете, параметры которых также входят в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Look-Alike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таргетинг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>. Что надо учитывать при выборе сегмента и нацеливании на него своего продукта и комплекса маркетинг-</w:t>
      </w:r>
      <w:proofErr w:type="spellStart"/>
      <w:r w:rsidRPr="00BD2B55">
        <w:rPr>
          <w:rFonts w:ascii="Times New Roman" w:hAnsi="Times New Roman" w:cs="Times New Roman"/>
          <w:sz w:val="32"/>
          <w:szCs w:val="32"/>
        </w:rPr>
        <w:t>микс</w:t>
      </w:r>
      <w:proofErr w:type="spellEnd"/>
      <w:r w:rsidRPr="00BD2B55">
        <w:rPr>
          <w:rFonts w:ascii="Times New Roman" w:hAnsi="Times New Roman" w:cs="Times New Roman"/>
          <w:sz w:val="32"/>
          <w:szCs w:val="32"/>
        </w:rPr>
        <w:t xml:space="preserve">? Измеримость. Возможно ли количественно оценить размеры, покупательную способность и другие характеристики сегмента. Значительность. Сегменты должны быть достаточно большими и прибыльными. Доступность. У организации есть методы продвижения и дистрибуции для охвата сегмента и его обслуживания. Дифференцируемость. Если один сегмент не отличается от другого по требованиям к товару и реакции на методы продвижения, дистрибуции и ценообразования, то это не два сегмента, а один. Осуществимость охвата. Компания в состоянии разработать и реализовать комплекс маркетинга для </w:t>
      </w:r>
      <w:r>
        <w:rPr>
          <w:rFonts w:ascii="Times New Roman" w:hAnsi="Times New Roman" w:cs="Times New Roman"/>
          <w:sz w:val="32"/>
          <w:szCs w:val="32"/>
        </w:rPr>
        <w:t xml:space="preserve">выбранного сегмента. </w:t>
      </w: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E04E62" w:rsidRDefault="00E04E62" w:rsidP="00BD2B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8409C1" w:rsidRPr="008409C1" w:rsidRDefault="00E04E62" w:rsidP="008409C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Лекция № 1.4</w:t>
      </w:r>
      <w:r w:rsidR="008409C1">
        <w:rPr>
          <w:rFonts w:ascii="Times New Roman" w:hAnsi="Times New Roman" w:cs="Times New Roman"/>
          <w:sz w:val="32"/>
          <w:szCs w:val="32"/>
        </w:rPr>
        <w:t xml:space="preserve"> </w:t>
      </w:r>
      <w:r w:rsidR="008409C1" w:rsidRPr="008409C1">
        <w:rPr>
          <w:rFonts w:ascii="Times New Roman" w:hAnsi="Times New Roman" w:cs="Times New Roman"/>
          <w:b/>
          <w:bCs/>
          <w:sz w:val="32"/>
          <w:szCs w:val="32"/>
        </w:rPr>
        <w:t xml:space="preserve">Выбор целевых сегментов и средств коммуникации. Часть </w:t>
      </w:r>
      <w:r w:rsidR="008409C1">
        <w:rPr>
          <w:rFonts w:ascii="Times New Roman" w:hAnsi="Times New Roman" w:cs="Times New Roman"/>
          <w:b/>
          <w:bCs/>
          <w:sz w:val="32"/>
          <w:szCs w:val="32"/>
        </w:rPr>
        <w:t>2</w:t>
      </w:r>
    </w:p>
    <w:p w:rsidR="00E04E62" w:rsidRDefault="00E04E62" w:rsidP="00E04E6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Рассмотрим концепцию позиционирования. Ее предложили в 1971 году Джек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Траут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и Эл Райс. Позиционирование по продукту - это придание ему выгодного положения в сознании потребителя относительно конкурентов, по различным параметрам: цена, качество, различные физические свойства товара, реклама, система распространения. Позиция, таким образом - это координата места продукта в сознании потребителя.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Таргетирование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- это тоже, своего рода, позиционирование, но по сегментам клиентов. Мы выбираем сегменты. Выбирая себе </w:t>
      </w:r>
      <w:proofErr w:type="gramStart"/>
      <w:r w:rsidRPr="008409C1">
        <w:rPr>
          <w:rFonts w:ascii="Times New Roman" w:hAnsi="Times New Roman" w:cs="Times New Roman"/>
          <w:sz w:val="32"/>
          <w:szCs w:val="32"/>
        </w:rPr>
        <w:t>сегмент</w:t>
      </w:r>
      <w:proofErr w:type="gramEnd"/>
      <w:r w:rsidRPr="008409C1">
        <w:rPr>
          <w:rFonts w:ascii="Times New Roman" w:hAnsi="Times New Roman" w:cs="Times New Roman"/>
          <w:sz w:val="32"/>
          <w:szCs w:val="32"/>
        </w:rPr>
        <w:t xml:space="preserve"> мы позиционирует продукт, именно, в сознании этих людей, другие у нас, в этом процессе, не очень интересуют.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Основные направления позиционирования - это продукт - рациональная составляющая и имидж бренда - эмоциональная составляющая. Основой позиционирования является дифференциация продукта по различным направлениям. Чтобы вас заметили, вы должны быть дифференцированы. Дифференциация может быть: по свойствам продукта, по цене, по дополнительным услугам, по обслуживанию,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имиджевые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какие-то характеристики, рекламные образы, слоганы. Среди концепций позиционирования можно выделить концепции уникального торгового предложения - УТП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Россера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Ривза, эмоционального торгового предложения и торгового предложения бренда Мартина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Линдстрома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. Согласно концепции УТП, вы должны сделать своему потребителю уникальное предложение. Как говорил о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Россер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Ривз, его уникальность должна быть связана, либо с уникальности товара или услуги, либо с утверждением, которого еще не делали в данной сфере раньше. Например, кафе предлагает вам заплатить фиксированную сумму денег и кушать без ограничения по объему, выбирая различные блюда. УТП может быть недолговечным.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Конкуренты понимают его привлекательность для потребителя, или копируют, или делают свое, более привлекательное, уникальное торгового предложение. Уникальное эмоциональное предложение ориентировано на принятие решений потребителем под влиянием: стиля, тональности, визуальных образов, слоганов и других творческих составляющих коммуникации бренда. Применяется, либо как дополнение к УТП, либо, когда в товарах нет особо различительных свойств. Например, как между напитками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Coca-Cola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Pepsi-Cola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, что уже давно доказано. И, так сказать, вершиной позиционирования является торговое предложение бренда -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Brend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Selling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Proposition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(BSP), когда бренд становится для потребителя более веским аргументом в пользу покупки, чем потребительские качества продукта или эмоциональная составляющая коммуникации.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lastRenderedPageBreak/>
        <w:t xml:space="preserve">Это позиционирование, часто вызывает позиционирование потребителя в социальной среде, на основе позиционирования бренда и сопровождается постоянной демонстрацией наличия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брендированного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продукта у потребителя. Концепция интегрированного маркетинга состоит в том, чтобы все элементы комплекса маркетинг-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микс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составляли единое целое, соответствовали поддерживали и развивали друг друга. Поэтому, после того как вы провели сегментацию </w:t>
      </w:r>
      <w:proofErr w:type="spellStart"/>
      <w:proofErr w:type="gramStart"/>
      <w:r w:rsidRPr="008409C1">
        <w:rPr>
          <w:rFonts w:ascii="Times New Roman" w:hAnsi="Times New Roman" w:cs="Times New Roman"/>
          <w:sz w:val="32"/>
          <w:szCs w:val="32"/>
        </w:rPr>
        <w:t>таргетирования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r w:rsidR="00D1013F">
        <w:rPr>
          <w:rFonts w:ascii="Times New Roman" w:hAnsi="Times New Roman" w:cs="Times New Roman"/>
          <w:sz w:val="32"/>
          <w:szCs w:val="32"/>
        </w:rPr>
        <w:t xml:space="preserve"> </w:t>
      </w:r>
      <w:r w:rsidRPr="008409C1">
        <w:rPr>
          <w:rFonts w:ascii="Times New Roman" w:hAnsi="Times New Roman" w:cs="Times New Roman"/>
          <w:sz w:val="32"/>
          <w:szCs w:val="32"/>
        </w:rPr>
        <w:t>позиционирования</w:t>
      </w:r>
      <w:proofErr w:type="gramEnd"/>
      <w:r w:rsidRPr="008409C1">
        <w:rPr>
          <w:rFonts w:ascii="Times New Roman" w:hAnsi="Times New Roman" w:cs="Times New Roman"/>
          <w:sz w:val="32"/>
          <w:szCs w:val="32"/>
        </w:rPr>
        <w:t>, для успешного продвижения, вам надо правильно выбрать средство коммуникации и разработать правильное коммуникационное обращение, которое воздействует на ваших потребителей.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 Эффективная коммуникация у нас зависит, так сказать, от ответов на 3 группы вопросов. 1 группа - кто наша целевая аудитория, кто они, как они выглядят, какие у них характеристики? 2 - что мы должны сказать и показать? И, 3 группа - где и когда мы должны это сделать? Разработка коммуникационных обращений в рекламе - это рекламное творчество и производство рекламной продукции. А выбор средств коммуникации, времени, места выхода реклама, размеров и длительности рекламных объявлений - это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медиапланирование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Базовые основы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медиапланирования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можно показать графические в виде 4 множеств: население региона, целевая аудитория, аудитория средства коммуникации и целевая группа средства коммуникации. Население региона - это люди, которые проживают на определенной территории. Часто, также, на них накладываются ограничения по возрасту и могут контактировать с рассматриваемыми средствами коммуникации. Целевая аудитория коммуникационного воздействия - это те люди, для кого предназначена, сделана и размещена реклама. Эта часть населения региона.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Целевая аудитория рекламного воздействия, может совпадать с целевой аудиторией или целевым сегментом потребителей продукта, или не совпадать с ней. Например, целевыми аудиториями рекламы услуг по обучению детей, являются не только сами дети, назовем ее - целевая аудитория рекламного воздействия номер 2, но в первую очередь их родители. Аудитория средства коммуникации - это все люди из населения региона, которые читают, смотрят, слушают. Иначе говоря, контактируют с определенным средством коммуникаций.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Целевая группа средств коммуникации - это люди, которые являются представителями ЦА и входят в аудиторию средства коммуникации. То есть, на языке математики, целевая группа - это пересечение аудитории средства коммуникации и целевой аудитории коммуникационного воздействия. Базовыми показателями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медиапланирования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являются рейтинг или охват, структура 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>. Рейтинг или Охват 1+ (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Reach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) - показывает сколько людей контактирует со средством коммуникации, выражается в процентах от целевой аудитории. Рейтинг по целевой </w:t>
      </w:r>
      <w:r w:rsidRPr="008409C1">
        <w:rPr>
          <w:rFonts w:ascii="Times New Roman" w:hAnsi="Times New Roman" w:cs="Times New Roman"/>
          <w:sz w:val="32"/>
          <w:szCs w:val="32"/>
        </w:rPr>
        <w:lastRenderedPageBreak/>
        <w:t xml:space="preserve">аудитории или от населения региона - рейтинг по населению региона. Охват может изменяться и в 1000 человек и в %. А, вот рейтинг в 1000 человек - эта целевая группа, средство коммуникации. Как я сказал, различают 2 вида рейтинга: по целевой аудитории и по населению. Отношение ЦГ к ЦА выраженное в % - это рейтинг по ЦА. Отношение А к НР выраженное в % - это рейтинг по НР. Отношение рейтинга по ЦА к рейтингу по НР - это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через рейтинги. Он показывает насколько целевая аудитория лучше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больше 100% или хуже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меньше 100%. Контактирует со средством коммуникации, по сравнению с населением в среднем.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 Чем Рейтинг отличается от Охвата? Все-таки это 2 разных слова. Рейтинг - это одномоментная, одномерная характеристика, показывает: сколько людей из целевой аудитории увидит ваши коммуникационные обращения в средстве коммуникации, которое имеет, допустим, индекс 1, если оно выйдет у вас 1 раз. Охват многомерен.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Во-первых, вы размещает несколько рекламных объявлений в одном средстве коммуникации. Например, 3 рекламных объявления каждый день в течение трех дней. И количество людей, которые увидят, хотя бы, одно из них - Охват 1+ будет больше, чем если вы разместите его 1 раз.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>Во-вторых, вы можете размещать рекламу в нескольких средствах коммуникаций и Охват у вас увеличится, за счет расширения группы Охватов, в которую входят уже несколько СМИ. При вычисления таких Охватов учитывается пересечение целевых групп разных средств коммуникации. Охваты бывают разные частоты. Простейший - это Охват 1+ Считают Охваты 2+, 3+ и так далее. Максимальная частота Охватов - это количество всех рекламных объявлений, которые вышли у вас за период рекламной кампании. Например, ваша рекламная кампания длилась 3 дня и у вас выходила в 3 средствах коммуникации с индексом 1, 2, 3, в каждом по объявлению в день. Сколько у вас вышло объявлений? 3 средства коммуникации умножить на 3 дня - 9 объявлений. И максимальная частота Охвата, количество раз, которое вашу рекламу увидит представитель целевой аудитории, будет равна 9. Для этого представитель ЦА должен каждый день видеть вашу рекламу, в каждом средстве коммуникации.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 Существуют разные теории эффективной частоты, которые пытаются ответить на вопрос. Сколько же раз человек должен увидеть рекламу, чтобы совершить целевое действие: кликнуть на рекламный баннер на сайте, или кликнуть на ссылку в электронном письме, оставить свои контактные данные на сайте, купить товар. Первой исторически возникла категория 3+.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Херберт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Крагман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говорил: "Одного раза достаточно для восприятия информации, двух - для понимания и трех - для формирования отношения к сообщению", то есть к действию. Структура или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composition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показывает структуру аудитории и структуру населения региона, по какому-либо </w:t>
      </w:r>
      <w:r w:rsidRPr="008409C1">
        <w:rPr>
          <w:rFonts w:ascii="Times New Roman" w:hAnsi="Times New Roman" w:cs="Times New Roman"/>
          <w:sz w:val="32"/>
          <w:szCs w:val="32"/>
        </w:rPr>
        <w:lastRenderedPageBreak/>
        <w:t xml:space="preserve">социально-демографическому признаку. Например, по полу. Сколько % мужчин в аудитории и сколько % мужчин в населении региона. Таким образом, доля ЦГ в А - это структура А - аудитории. Доля ЦА в НР - это структура НР населения региона.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через структуры, показывает насколько структура аудитории отличается от структуры населения региона. </w:t>
      </w:r>
    </w:p>
    <w:p w:rsidR="00D1013F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То есть, насколько в аудитории средства коммуникации, преобладают представители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соцдемгруппы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по сравнению с населением в среднем. Например, если у вас в аудитории 80% мужчин, а в населении региона 40% мужчин 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, таким образом, равен 200%, то это значит, что у вас в аудитории структурно, по сравнению с населением региона, преобладают мужчины. А они преобладают, не потому что их 80% в аудитории, а женщин, таким образом, 20, как нетрудно догадаться 20% в аудитории, а потому, что их структурно в 2 раза больше по сравнению с населением региона. В два раза больше в аудитории. Ну,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через рейтинги, но не через Охваты и через структуры математически одинаковы.</w:t>
      </w:r>
    </w:p>
    <w:p w:rsidR="00BD2B55" w:rsidRDefault="008409C1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8409C1">
        <w:rPr>
          <w:rFonts w:ascii="Times New Roman" w:hAnsi="Times New Roman" w:cs="Times New Roman"/>
          <w:sz w:val="32"/>
          <w:szCs w:val="32"/>
        </w:rPr>
        <w:t xml:space="preserve"> В качестве базы, для вычисления Охватов 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, в интернет используется не только все население региона, но и часть населения пользующиеся интернетом - так называемая, интернет - аудитория. Лидером на рынке медиа - измерений, у нас сейчас является, компания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Mediascope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>. На ее сайте вы можете найти много информации, о медиа - предпочтениях россиян, в том числе, в интернет. Часть информации компания предоставляет бесплатно. В рамках исследования WEB-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она предоставляет данные по динамике размеров аудитории ряда сайтов, структуре аудитории и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Affinity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09C1">
        <w:rPr>
          <w:rFonts w:ascii="Times New Roman" w:hAnsi="Times New Roman" w:cs="Times New Roman"/>
          <w:sz w:val="32"/>
          <w:szCs w:val="32"/>
        </w:rPr>
        <w:t>Index</w:t>
      </w:r>
      <w:proofErr w:type="spellEnd"/>
      <w:r w:rsidRPr="008409C1">
        <w:rPr>
          <w:rFonts w:ascii="Times New Roman" w:hAnsi="Times New Roman" w:cs="Times New Roman"/>
          <w:sz w:val="32"/>
          <w:szCs w:val="32"/>
        </w:rPr>
        <w:t>. Благодарю за внимание.</w:t>
      </w: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D2B55" w:rsidRPr="00D66447" w:rsidRDefault="00BD2B55" w:rsidP="00FD0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sectPr w:rsidR="00BD2B55" w:rsidRPr="00D66447" w:rsidSect="000F5B03">
      <w:pgSz w:w="11906" w:h="16838"/>
      <w:pgMar w:top="567" w:right="567" w:bottom="567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ADC"/>
    <w:rsid w:val="000F5B03"/>
    <w:rsid w:val="002D05FF"/>
    <w:rsid w:val="003E2ADC"/>
    <w:rsid w:val="0050316B"/>
    <w:rsid w:val="006117DE"/>
    <w:rsid w:val="008409C1"/>
    <w:rsid w:val="00B94B7F"/>
    <w:rsid w:val="00BC727E"/>
    <w:rsid w:val="00BD2B55"/>
    <w:rsid w:val="00D1013F"/>
    <w:rsid w:val="00D66447"/>
    <w:rsid w:val="00E04E62"/>
    <w:rsid w:val="00FD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6B032"/>
  <w15:chartTrackingRefBased/>
  <w15:docId w15:val="{227BFF00-EE8A-461E-83F3-B68CF527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31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50316B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2514</Words>
  <Characters>14331</Characters>
  <Application>Microsoft Office Word</Application>
  <DocSecurity>0</DocSecurity>
  <Lines>119</Lines>
  <Paragraphs>33</Paragraphs>
  <ScaleCrop>false</ScaleCrop>
  <Company/>
  <LinksUpToDate>false</LinksUpToDate>
  <CharactersWithSpaces>16812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2020-11-15T16:38:00Z</dcterms:created>
  <dcterms:modified xsi:type="dcterms:W3CDTF">2021-04-08T05:25:00Z</dcterms:modified>
</cp:coreProperties>
</file>